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2025/76 vom 12. August 2025</w:t>
      </w:r>
    </w:p>
    <w:p>
      <w:r>
        <w:t>Sg Verwaltungsgericht, 2025-08-12, DE</w:t>
      </w:r>
    </w:p>
    <w:p>
      <w:r>
        <w:rPr>
          <w:b/>
        </w:rPr>
        <w:t xml:space="preserve">Quelle: </w:t>
      </w:r>
      <w:r>
        <w:t>https://mcp.opencaselaw.ch/entscheid/sg_publikationen_B 2025_76</w:t>
      </w:r>
    </w:p>
    <w:p>
      <w:r>
        <w:t>FR: SG_VERWALTUNGSGERICHT B 2025/76 du 12 août 2025</w:t>
      </w:r>
    </w:p>
    <w:p>
      <w:r>
        <w:t>IT: SG_VERWALTUNGSGERICHT B 2025/76 del 12 agosto 2025</w:t>
      </w:r>
    </w:p>
    <w:p>
      <w:pPr>
        <w:pStyle w:val="Heading2"/>
      </w:pPr>
      <w:r>
        <w:t>Regeste</w:t>
      </w:r>
    </w:p>
    <w:p>
      <w:r>
        <w:t>Verkehrsanordnung Stadt Z.__. Art. 3 Abs. 4 SVG (SR 741.01). Das Verwaltungsgericht stellte vorab fest, dass es an einer vertraglichen Vereinbarung zwischen der Beschwerdebeteiligten (Stadt Z.) und den damaligen Beschwerdeführern fehle, für die D.__-strasse dauerhaft am Konzept eines separaten EBZ-Sektors ohne markierte Felder festzuhalten bzw. ein solcher Verwaltungsvertrag nichtig wäre. Damit sei nicht von einem verwaltungsrechtlichen Vertrag auszugehen, dessen Abänderung mit Blick auf das rechtliche Gehör unter Umständen die Einräumung einer vorgängigen Äusserungsmöglichkeit verlangen würde. Vielmehr sei davon auszugehen, dass die Ausgangsverfügung eine Allgemeinverfügung darstelle, mit welcher frühere Verkehrsanordnungen in Wiedererwägung gezogen worden seien. Mit der Vorinstanz sei festzuhalten, dass die Beschwerdeführer vor Erlass der Ausgangsverfügung vom 26. Juli 2023 keinen Anspruch auf individuelle Anhörung bzw. Mitwirkung der Beschwerdeführer besessen hätten, zumal der Adressatenkreis dieser Allgemeinverfügung insofern unbestimmt gewesen sei, als die getroffene Verkehrsanordnung nicht nur die Anwohner der betreffenden Strassen tangiert, sondern sämtliche potentiellen Strassenbenützer betroffen habe. In materieller Hinsicht streitig war die Rechtmässigkeit des mit der Änderung der bisherigen Sektoreinteilung (Einbindung des bisherigen EBZ-Sektors 12 D.__-strasse/E.__-strasse [ohne markierte Parkfelder] in EBZ-Zone 4 [mit Parkfeldmarkierung]) verbundenen Parkverbots mit dem Zusatz «ausgenommen parkierte Felder» einschliesslich Markierung von Parkfeldern. Das Verwaltungsgericht erachtete den Schluss der Vorinstanz, dass die Parkplatzmarkierung geeignet, erforderlich und zumutbar sei, ungeordnetes Parkieren zu verhindern und die Verkehrssicherheit zu erhöhen, als begründet, auch wenn ein Vergleich der Situation vor und nach Parkplatzmarkierung nicht möglich sei und damit eine Verbesserung der Situation sich naturgemäss nicht genau eruieren bzw. im Voraus dokumentieren lasse. Insgesamt hätten die Beschwerdeführer kein überzeugen-des Argument gegen die Parkplatzmarkierung zu liefern vermocht; ein solches sei auch nicht erkennbar. Der angefochtene Entscheid lasse sich somit nicht beanstanden. (Verwaltungsgericht, B 2025/76)</w:t>
      </w:r>
    </w:p>
    <w:p>
      <w:pPr>
        <w:pStyle w:val="Heading2"/>
      </w:pPr>
      <w:r>
        <w:t>Erwägungen</w:t>
      </w:r>
    </w:p>
    <w:p>
      <w:r>
        <w:rPr>
          <w:b/>
        </w:rPr>
        <w:t>E. 3</w:t>
      </w:r>
    </w:p>
    <w:p>
      <w:r>
        <w:t>In materieller Hinsicht streitig ist die Rechtmässigkeit des mit der Änderung der bisherigen Sektoreinteilung (Einbindung des bisherigen EBZ-Sektors 12 D.__-strasse/E.__-strasse [ohne markierte Parkfelder] in EBZ-Zone 4 [mit Parkfeldmarkierung]) verbundenen Parkver- bots mit dem Zusatz «ausgenommen parkierte Felder» einschliesslich Markierung von Parkfeldern. Hierbei geht es um eine Verkehrsanordnung im Sinn von Art. 3 Abs. 4 des Strassenverkehrsgesetzes (SVG; SR 741.01).</w:t>
      </w:r>
    </w:p>
    <w:p>
      <w:r>
        <w:rPr>
          <w:b/>
        </w:rPr>
        <w:t>E. 3.1</w:t>
      </w:r>
    </w:p>
    <w:p>
      <w:r>
        <w:t>Einzugehen ist vorab auf die Frage, ob der Beschwerdebeteiligten bzw. dem Beschwerde- gegner aufgrund der Abänderung der früheren Verkehrsanordnungen widersprüchliches Verhalten bzw. ein Verstoss gegen berechtigtes Vertrauen der Beschwerdeführer vorzu- werfen ist (Art. 5 Abs. 3, Art. 9 BV). Die Beschwerdeführer leiten aus dem Schreiben vom 11. März 2011 (vgl. act. G 11/6.1 Beilage 3) eine Zusicherung ab, auf die sie auch weiterhin vertrauen dürften.</w:t>
      </w:r>
    </w:p>
    <w:p>
      <w:r>
        <w:rPr>
          <w:b/>
        </w:rPr>
        <w:t>E. 3.1.1</w:t>
      </w:r>
    </w:p>
    <w:p>
      <w:r>
        <w:t>Die Vorinstanz erwog diesbezüglich, es habe dem Beschwerdegegner und der Beschwer- debeteiligten vorliegend freigestanden, die Verkehrssituation (in Politische Gemeinde Z.__ im Allgemeinen bzw. an der D.__-strasse im Besonderen) neu zu überprüfen. Mit der Ver- fügung vom 26. Juli 2023 seien verschiedene ältere Verfügungen abgeändert worden. Die B 2025/76 9/19</w:t>
      </w:r>
    </w:p>
    <w:p>
      <w:r>
        <w:t>Beschwerdebeteiligte habe ein neues Parkierungskonzept beschlossen und gestützt darauf zu Recht die Situation umfassend neu beurteilt. Ein Rechtsanspruch auf Beibehaltung be- stimmter Nutzungsweisen (hier insbesondere ungeordnete Parkierungsmöglichkeiten) der öffentlichen Strasse bestehe nicht. Folglich hindere die Verständigung im Beschwerdever- fahren B 2011/10 weder die Beschwerdebeteiligte, nötigenfalls Verkehrsanordnungen beim Beschwerdegegner zu beantragen, noch den Beschwerdegegner, neue Verkehrsanord- nungen zu erlassen (act. G 2 S. 10-12).</w:t>
      </w:r>
    </w:p>
    <w:p>
      <w:r>
        <w:rPr>
          <w:b/>
        </w:rPr>
        <w:t>E. 3.1.2</w:t>
      </w:r>
    </w:p>
    <w:p>
      <w:r>
        <w:t>Der in Art. 9 BV verankerte Grundsatz von Treu und Glauben verleiht einer Person An- spruch auf Schutz eines objektiv berechtigten Vertrauens in behördliche Zusicherungen oder sonstiges, bestimmte Erwartungen begründendes Handeln der Behörde (BGE 131 II 627 E. 6.1 mit Hinweisen). Äusserungen im Verkehr zwischen Behörden und Privaten sind dabei so zu interpretieren, wie die jeweils andere Seite sie nach Treu und Glauben verste- hen durfte (BGE 132 II 21 E. 8.1, mit Hinweisen).</w:t>
      </w:r>
    </w:p>
    <w:p>
      <w:r>
        <w:rPr>
          <w:b/>
        </w:rPr>
        <w:t>E. 3.1.3</w:t>
      </w:r>
    </w:p>
    <w:p>
      <w:r>
        <w:t>Wie ausgeführt (vorstehende E. 2.1.3.1) hatte die Beschwerdebeteiligte mit der Beantra- gung der Verkehrsanordnung beim Beschwerdegegner im Jahr 2011 ihr Versprechen ge- genüber den Beschwerdeführern erfüllt; weitere Verpflichtungen hatte sie nicht übernom- men. Hieraus lässt sich somit offensichtlich keine Vertrauensgrundlage im Sinn der erwähn- ten Rechtsprechung bzw. ein bindendes "Versprechen" für eine Weiterwirkung der bisheri- gen Parkierungssituation ableiten. Mit der Vorinstanz ist festzuhalten, dass es der Be- schwerdebeteiligten und dem Beschwerdegegner freistand, die Verkehrssituation (in Politi- sche Gemeinde Z.__ im Allgemeinen bzw. an der D.__-strasse im Besonderen) ab dem Jahr 2018 neu zu überprüfen und – bei Vorliegen hinreichender Anpassungsgründe – neue Verkehrsanordnungen zu erlassen.</w:t>
      </w:r>
    </w:p>
    <w:p>
      <w:r>
        <w:rPr>
          <w:b/>
        </w:rPr>
        <w:t>E. 3.2</w:t>
      </w:r>
    </w:p>
    <w:p>
      <w:r>
        <w:t>Die Beschwerdeführer bestreiten das Vorliegen hinreichender Anpassungsgründe.</w:t>
      </w:r>
    </w:p>
    <w:p>
      <w:r>
        <w:rPr>
          <w:b/>
        </w:rPr>
        <w:t>E. 3.2.1</w:t>
      </w:r>
    </w:p>
    <w:p>
      <w:r>
        <w:t>Nach Art. 28 Abs. 1 VRP können Verfügungen durch die erlassende Behörde geändert oder aufgehoben werden, wenn der Widerruf die Betroffenen nicht belastet oder wenn er aus wichtigen öffentlichen Interessen geboten ist. Insbesondere der Schutz der Polizeigüter stellt ein öffentliches Interesse im Sinn dieser Bestimmung dar. Mit dem Erfordernis des öffentlichen Interesses verlangt das Gesetz eine Wertabwägung. Dabei sind die Interessen an der richtigen Durchsetzung der Rechtsordnung, der Schutz allfälliger Drittbetroffener und das Interesse der Betroffenen zu gewichten und gegeneinander abzuwägen. Zu B 2025/76 10/19</w:t>
      </w:r>
    </w:p>
    <w:p>
      <w:r>
        <w:t>berücksichtigen ist, dass ein belastender Widerruf stets eine Hintanstellung des Grundsat- zes von Treu und Glauben (Art. 9 der Bundesverfassung, BV; SR 101) sowie der Rechtssi- cherheit mit sich bringt (VerwGE B 2016/40 vom 22. November 2017 E. 4.1 m.H.). Die Ab- änderung rechtskräftiger Verfügungen fällt lediglich bei Vorliegen bestimmter Vorausset- zungen in Betracht. Dabei wird unterschieden, ob einerseits ausreichende Gründe für ein Rückkommen auf die ursprüngliche Verfügung vorliegen und ob andererseits hinreichende Gründe für eine Abänderung der Verfügung vorliegen. Gründe für eine Abänderung der Verfügung sind insbesondere ursprüngliche Fehlerhaftigkeit der Verfügung, Veränderung der Umstände oder das Vorliegen eigentlicher Revisionsgründe (VerwGE B 2022/136 vom</w:t>
      </w:r>
    </w:p>
    <w:p>
      <w:r>
        <w:rPr>
          <w:b/>
        </w:rPr>
        <w:t>E. 3.2.2</w:t>
      </w:r>
    </w:p>
    <w:p>
      <w:r>
        <w:t>Nach Art. 3 Abs. 4 SVG können Verkehrsanordnungen erlassen werden, soweit der Schutz der Bewohner oder gleichermassen Betroffener vor Lärm und Luftverschmutzung, der Be- seitigung von Benachteiligungen von Menschen mit Behinderungen, die Sicherheit, die Er- leichterung oder die Regelung des Verkehrs, der Schutz der Strasse oder andere in den örtlichen Verhältnissen liegende Gründe dies erfordern. Aus solchen Gründen kann insbe- sondere in Wohnquartieren der Verkehr beschränkt und das Parkieren besonders geregelt werden. Dabei können all jene Massnahmen getroffen werden, die im Rahmen der stras- senverkehrsrechtlichen Vorschriften zur Verfügung stehen und die nach dem Grundsatz der Notwendigkeit und Verhältnismässigkeit zulässig sind (VerwGE B 2016/86-92 vom 17. März 2018 E. 3.1 m.H.). Sind auf bestimmten Strassenstrecken örtliche Verkehrsanord- nungen nötig, wird die Massnahme gewählt, die den Zweck mit den geringsten Einschrän- kungen erreicht (Art. 107 Abs. 5 SSV; vgl. dazu VerwGE B 2017/187 vom 28. Januar 2020 E. 3 m.H.). Das in Art. 5 Abs. 2 BV verankerte Verhältnismässigkeitsgebot verlangt, dass eine staatliche Massnahme in der Rechtsanwendung geeignet, erforderlich und zumutbar ist (statt vieler BGE 136 I 26 E. 4.4 m.H.). Die Verhältnismässigkeit einer Massnahme im engeren Sinn bleibt gewahrt, wenn zwischen dem angestrebten Ziel und dem Eingriff, den sie für den Privaten bewirkt, ein vernünftiges Verhältnis besteht. Mit anderen Worten muss sie für die Betroffenen zumutbar sein. Unter diesem Gesichtspunkt ist das öffentliche Inte- resse an einer Massnahme mit den beeinträchtigten privaten Interessen wertend zu ver- gleichen (vgl. statt vieler BGE 130 I 154 E. 5.3.6).</w:t>
      </w:r>
    </w:p>
    <w:p>
      <w:r>
        <w:rPr>
          <w:b/>
        </w:rPr>
        <w:t>E. 3.3</w:t>
      </w:r>
    </w:p>
    <w:p>
      <w:r>
        <w:t>Die Vorinstanz legte im angefochtenen Entscheid unter anderem dar, die Beschwerdebe- teiligte wolle mit der Aufteilung der EBZ in (nur noch) vier Sektoren die Parkzeitbeschrän- kungen auf dem Gemeindegebiet vereinheitlichen und die praktische Anwendung erleich- tern. Parkieren solle im gesamten Sektor 4 nur noch auf markierten Feldern erlaubt sein. Im Übrigen stelle auch die Gebührenzahlungspflicht (Art. 20 Abs. 2 und Art. 21 Abs. 2 des B 2025/76 11/19</w:t>
      </w:r>
    </w:p>
    <w:p>
      <w:r>
        <w:t>Strassengesetzes, sGS 732.1, StrG) Teil der Verkehrsanordnung dar, welche nach den Voraussetzungen von Art. 3 Abs. 4 SVG geregelt werden könne (C. ROHNER, Erlass und Anfechtung von lokalen Verkehrsanordnungen, Zürich/St. Gallen 2012, S. 139). Mit dem Parkverbot und dem Zusatz «ausgenommen markierte Parkfelder» solle der ruhende Ver- kehr an der D.__-strasse geregelt werden. Die Beschwerdebeteiligte habe festgestellt, dass dort vermehrt Fahrzeuge ungeordnet und an unzulässigen Stellen abgestellt würden (Foto in act. G 11/13 S. 4), was mit Parkfeldern verhindert werden solle. Fahrzeuge würden teils direkt bei Grundstückzufahrten aufkolonniert, was die Sicht erheblich beeinträchtige und die Durchfahrt (auch für die öffentlichen Dienste) erschwere, zumal es sich insbesondere bei der D.__-strasse um eine kurvenreiche Strasse mit zahlreichen Grundstückzufahrten handle. Durch das Anbringen von Parkfeldern werde ungeordnetes Parkieren vor Hauszu- fahrten und an unübersichtlichen Stellen unterbunden. Die Sicherstellung der nötigen Sicht- weiten trage zur Verkehrssicherheit bei. Es bestehe ein öffentliches Interesse, ungeordne- tes Abstellen von Fahrzeugen zu unterbinden und dadurch die Verkehrssicherheit zu ver- bessern. Zudem vereinfache die Markierung der Parkfelder das Kontrollieren der abgestell- ten Fahrzeuge. Gleichzeitig trage der Beschwerdegegner dem Parkierungskonzept der Be- schwerdebeteiligten Rechnung, das Ausfluss des mit Nachtrag vom 5. März 2019 ange- passten Parkierungsreglements sei. Das Ziel einer einheitlichen und geregelten Parkie- rungssituation solle durch die Einteilung in vier EBZ-Sektoren erreicht werden. Im Sektor 4 sollen 96 Parkplätze zur Verfügung stehen. Die Vereinfachung des Parkierungsregimes sei sinnvoll, zumal dadurch die Gleichbehandlung der Einwohner sichergestellt werde. Die Si- tuation an der D.__-strasse bzw. der E.__-strasse sei nicht anders als im übrigen Sektor 4 bzw. den übrigen Wohngebieten, so dass keine Ausnahme vom flächendeckenden Konzept gerechtfertigt sei. Aufgrund des Gleichbehandlungsgebots erscheine eine Sonderregel für die D.__-strasse bzw. die E.__-strasse nicht angezeigt. Auch diese seien in das Parkie- rungskonzept mit den vier Zonen einzubinden, was ein Parkverbot – mit Ausnahme der markierten Felder – notwendig mache (act. G 2 S. 12-15). Mit dem Parkverbot werde – so die Vorinstanz weiter – das erlaubte Parkieren auf Stellen beschränkt, wo die Abstandsvorschriften und die Anforderungen an die Fahrbahnbreite ein- gehalten seien, was die Sicherheit erhöhe. Zudem könne die jederzeitige Durchfahrt ohne Ausweichen auf private Vorplätze gewährleistet werden. Somit tauge die Verkehrsanord- nung zur Erreichung des angestrebten Ziels, der Erhöhung der Verkehrssicherheit. Die Ein- zeichnung von Parkfeldern begünstige nicht die Zunahme der Fahrgeschwindigkeit, zumal das Anbringen von Parkfeldern eine Verkehrsberuhigung bewirke (vgl. Bundesamt für Strassen ASTRA, Broschüre «Verkehrsberuhigung innerorts», S. 22; https://www.astra.ch). Der Beschwerdegegner habe sämtliche Stellen, an denen unter Einhaltung der Verkehrs- regelnverordnung (SR 741.11, VRV) und unter Berücksichtigung der VSS-Norm 40 273a «Knoten – Sichtverhältnisse in Knoten in einer Ebene» parkiert werden dürfe, B 2025/76 12/19</w:t>
      </w:r>
    </w:p>
    <w:p>
      <w:r>
        <w:t>herausgearbeitet, um diese als Parkfelder zu markieren. Es sei nicht ersichtlich, inwiefern die in einem internen Arbeitspapier dargestellten Berechnungen (act. G 11/20.1) nicht kor- rekt sein sollten. Die dreizehn markierten Stellen, an denen – gemäss der aktuell bestehen- den Regelung – rechtmässig parkiert werden könne, würden vom Parkverbot ausgenom- men. Im rechtmässigen Parkieren trete somit (im Vergleich zur bestehenden Situation) keine Verschlechterung ein. Die Rüge der Verletzung der Eigentumsgarantie stosse ins Leere. Eine mildere Massnahme, die dem «wilden Parkieren» Einhalt gebieten würde, sei nicht ersichtlich. Insbesondere habe sich die bisherige Regelung (EBZ-Sektor ohne mar- kierte Felder) nicht als zielführend erwiesen. Mit einer Reduktion der Höchstgeschwindigkeit oder einem Fahrverbot mit dem Zusatz «Zubringerdienst gestattet» lasse sich das Ziel ei- nes geordneten Parkierens nicht erreichen. Für die Berechnung zur Ausscheidung der Parkplätze sei zudem bereits berücksichtigt worden, dass schon heute mit einer Geschwin- digkeit von rund 30 km/h gefahren werde. Stattdessen auf vermehrte Polizeikontrollen zu setzen, wäre aufwändig und wegen der nicht einfach festzustellenden Tatbestände nicht zielführend. Die Parkverbotszone mit Zusatz «ausgenommen markierte Parkfelder» er- weise sich insgesamt als notwendig. Nicht nachvollziehbar sei, wenn von den Beschwer- deführern mehr oder keine markierten Parkplätze gefordert würden, gleichzeitig aber auch ein Verzicht auf Parkplätze vor der eigenen Liegenschaft beantragt werde. Der Beschwer- degegner habe die grösstmögliche Anzahl Parkplätze eruiert und beabsichtige, diese zu markieren. Würde auch noch berücksichtigt, dass Parkfelder die Sicht der Liegenschaften auf die Strasse nicht beeinträchtigen sollten, wäre ein Parkieren an der D.__-strasse kaum noch möglich. Eine EBZ ohne markierte Parkfelder schütze zudem ohnehin nicht vor einem rechtmässigen Parkieren vor der Liegenschaft D.__-strasse 001_. Eine Verschiebung des Parkplatzes an der D.__-strasse 001_ auf die gegenüberliegende Strassenseite sei auf- grund von Sicherheitsbedenken (kein durchgehendes Trottoir) nicht möglich; noch weniger Parkplätze auszuscheiden, wäre hingegen nicht verhältnismässig. Die Markierung von Parkfeldern sei eine milde Massnahme, die für die Anwohner mit wenig Nachteilen verbun- den sei, zumal die Parkfelder rechtmässiges Parkieren lediglich verdeutlichen und dadurch unrechtmässiges Parkieren verhindern würden. Zudem befänden sich an der D.__-strasse und der E.__-strasse mehrheitlich Einfamilienhäuser mit eigenen Parkmöglichkeiten. Ins- gesamt sei das private Interesse an einem Verzicht auf die Parkfeldmarkierung im Vergleich zum öffentlichen Interesse (Verhinderung von ungeordnetem Parkieren, Verkehrssicher- heit) gering. Die Verkehrsanordnung erweise sich zur Erreichung des im öffentlichen Inte- resse liegenden Ziels als geeignet, erforderlich und angemessen (act. G 2 S. 15-17).</w:t>
      </w:r>
    </w:p>
    <w:p>
      <w:r>
        <w:rPr>
          <w:b/>
        </w:rPr>
        <w:t>E. 3.4</w:t>
      </w:r>
    </w:p>
    <w:p>
      <w:r>
        <w:t>Die Beschwerdeführer wenden unter anderem ein, das vom Beschwerdegegner einge- reichte Foto dokumentiere nicht die alltägliche Situation. Es komme äusserst selten vor, dass an der D.__-strasse auf diese Weise aufkolonniert werde (Verweis auf Fotos vom 20. B 2025/76 13/19</w:t>
      </w:r>
    </w:p>
    <w:p>
      <w:r>
        <w:t>Mai 2025 zum Beleg einer üblichen/alltäglichen Nutzung; act. G 7/3). Das Interesse an einer störungsfreien Schneeräumung, an einer ungestörten Bussenverteilung und an der Verhin- derung von aufkolonniert parkierten Fahrzeugen sei über alles betrachtet sehr gering und überwiege das private Interesse an der Beibehaltung der bisherigen Situation nicht (act. G 6 S. 10). Es möge zwar sein, dass solche Ausnahmesituationen die Übersichtlichkeit und die Durchführt der Fahrzeuge erschweren würden. Jedoch seien die Verkehrsteilnehmer dadurch auch gezwungen, vorsichtiger und langsamer zu fahren. Allein für die Verkehrssi- cherheit sei somit die Markierung von Parkfeldern nicht erforderlich. Das von der Beschwer- debeteiligten primär angestrebte Ziel, Parkbussen aufgrund einer klaren Markierung aus- stellen zu können, liege nicht im öffentlichen Interesse. Auch die Gleichbehandlung der Einwohner/Einwohnerinnen rechtfertige es nicht, die im Jahr 2011 getroffene Vereinbarung abzuändern. Schon damals habe sich das Wohngebiet Gozenberg genau gleich wie heute präsentiert. Die von der Vorinstanz angeführten Gründe belegten kein öffentliches Inte- resse, welches eine Abänderung der aktuellen Situation rechtfertigen würde. Vorinstanz und Beschwerdegegner hätten nicht aufgezeigt, dass es bei einem Feuerwehreinsatz oder bei der Müllabfuhr im Quartier je einmal ein Problem gegeben habe. Entsprechend habe es seit Einführung der EBZ 12 auch nie einen Verkehrsunfall gegeben. Es könne nicht sein, dass der Beschwerdegegner im Jahr 2011 zur Auffassung gelangt sei, dass 30 Parkfelder markiert werden könnten und diese Variante als die beste bezeichnet werden, und sich nun – bloss zehn Jahre später – auf den Standpunkt stelle, es seien nur noch 13 Parkfelder möglich. Willkürlich und ohne Grundlage sei auch die den Schilderungen der Beschwerde- beteiligten folgende Feststellung der Vorinstanz, dass die aktuelle Situation Gefahrenherde und Behinderungen des Verkehrs mit sich bringe. Willkürlich und unbegründet sei auch die Aussage, wonach der Verzicht auf den Parkplatz an der D.__-strasse 001_ nicht verhält- nismässig sei, weil nach Ansicht der Vorinstanz genau 13 Parkplätze verhältnismässig seien. Ob nun ein Parkplatz mehr oder weniger eingezeichnet werde, habe nichts mit Ver- hältnismässigkeit zu tun. Zu berücksichtigen sei, dass der an der D.__-strasse 001_ ge- plante Parkplatz bei der Liegenschaft der Beschwerdeführer ohnehin nur eingeschränkt ge- nutzt werden könne, weil die Parkierungsfläche direkt an einen Gartenzaun angrenze, was das Aussteigen aus dem Auto verunmögliche (Foto act. G 7/4). Daher sei die Verschiebung des Parkplatzes auf die andere Strassenseite – die Strasse sei an dieser Stelle übersichtlich (Foto act. G 7/5) – oder der Verzicht auf den Parkplatz verhältnismässig (act. G 6 S. 13- 16). Wenn der Beschwerdegegner und die Beschwerdebeteiligte sich für die Festlegung der Standorte der Parkfelder nur auf die VSS-Normen abstützen würden und nicht bei jeder Ausfahrt geprüft hätten, ob die Anwendung verhältnismässig sei, so hätten sie das ihnen zustehende Ermessen unterschritten. Dass bei einer korrekten Ermessensanwendung mehr Parkfelder möglich seien, hätten die Abklärungen im Jahr 2010 gezeigt. Der bean- tragte Augenschein werde zeigen, dass bei einer verhältnismässigen Anwendung der VSS- B 2025/76 14/19</w:t>
      </w:r>
    </w:p>
    <w:p>
      <w:r>
        <w:t>Normen mehr Parkplätze möglich seien, als dies vom Beschwerdegegner verfügt worden sei (act. G 17).</w:t>
      </w:r>
    </w:p>
    <w:p>
      <w:r>
        <w:rPr>
          <w:b/>
        </w:rPr>
        <w:t>E. 3.5.1</w:t>
      </w:r>
    </w:p>
    <w:p>
      <w:r>
        <w:t>Die Beschwerdeführer rügen die Nichtdurchführung eines Rekursaugenscheins (act. G 6 S. 15 unten) und beantragen die Durchführung eines Beschwerdeaugenscheins (act. G 6 S. 14 f.). Der Augenschein ist die unmittelbare sinnliche Wahrnehmung von Tatsachen durch die entscheidende Instanz. Er dient dem besseren Verständnis des Sachverhalts. Ob ein Augenschein durchzuführen ist, liegt im pflichtgemässen Ermessen der urteilenden In- stanz. Unbestrittene Tatsachen brauchen nicht durch einen Augenschein überprüft zu wer- den, sofern eine Nachprüfung nicht durch öffentliche Interessen geboten ist (vgl. B. MÄRKLI, in: Rizvi/Schindler/Cavelti [Hrsg.], Gesetz über die Verwaltungsrechtspflege, Praxiskom- mentar, Zürich/St. Gallen 2020, N 50 zu Art. 12-13 VRP). Die tatsächlichen (örtlichen) Ver- hältnisse ergeben sich im vorliegenden Fall hinreichend aus den Verfahrensakten und dem Geoportal; sie sind im Wesentlichen auch nicht umstritten. Sichtweiten (vgl. act. G 6 S. 15) bedürfen einer einlässlichen Abklärung durch Fachpersonen, Eine solche liegt konkret vor (vgl. act. G 11/20.1); entgegen der Auffassung der Beschwerdeführer lassen sich die so festgestellten Sichtweiten nicht im Rahmen eines Augenscheins verifizieren, zumal Ver- kehrssituationen mit allen in Betracht fallenden Verkehrsteilnehmern (Fussgänger, Velofah- rer, motorisierter Verkehr) zu berücksichtigen wären. Auch für die Klärung, ob bzw. in wel- chem Umfang Fahrzeuge an der D.__-strasse bzw. der E.__-strasse ungeordnet bzw. auf- kolonniert und unzulässig abgestellt werden (vgl. act. G 6 S. 14), vermöchte ein Augen- schein – als Momentaufnahme – aller Voraussicht nach nicht zu weiteren für das Gericht relevanten Erkenntnissen zu führen.</w:t>
      </w:r>
    </w:p>
    <w:p>
      <w:r>
        <w:rPr>
          <w:b/>
        </w:rPr>
        <w:t>E. 8</w:t>
      </w:r>
    </w:p>
    <w:p>
      <w:r>
        <w:t>Dezember 2022 E. 3.1 m.H. auf BGE 137 I 69 E. 2.2 S. 71; 138 I 61 E. 4.5 S. 75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